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390" w:rsidRPr="00571390" w:rsidRDefault="00571390" w:rsidP="00571390">
      <w:pPr>
        <w:shd w:val="clear" w:color="auto" w:fill="FFFFFF"/>
        <w:spacing w:before="90" w:after="90" w:line="270" w:lineRule="atLeast"/>
        <w:textAlignment w:val="baseline"/>
        <w:outlineLvl w:val="0"/>
        <w:rPr>
          <w:rFonts w:ascii="Arial" w:eastAsia="Times New Roman" w:hAnsi="Arial" w:cs="Arial"/>
          <w:b/>
          <w:bCs/>
          <w:color w:val="000000"/>
          <w:kern w:val="36"/>
          <w:sz w:val="33"/>
          <w:szCs w:val="33"/>
        </w:rPr>
      </w:pPr>
      <w:proofErr w:type="gramStart"/>
      <w:r w:rsidRPr="00571390">
        <w:rPr>
          <w:rFonts w:ascii="Arial" w:eastAsia="Times New Roman" w:hAnsi="Arial" w:cs="Arial"/>
          <w:b/>
          <w:bCs/>
          <w:color w:val="000000"/>
          <w:kern w:val="36"/>
          <w:sz w:val="33"/>
          <w:szCs w:val="33"/>
        </w:rPr>
        <w:t>Evaluation of bioaccumulation using in vivo laboratory and field studies.</w:t>
      </w:r>
      <w:proofErr w:type="gramEnd"/>
    </w:p>
    <w:p w:rsidR="00571390" w:rsidRPr="00571390" w:rsidRDefault="00336BC3" w:rsidP="00571390">
      <w:pPr>
        <w:shd w:val="clear" w:color="auto" w:fill="FFFFFF"/>
        <w:spacing w:after="0" w:line="240" w:lineRule="auto"/>
        <w:textAlignment w:val="baseline"/>
        <w:rPr>
          <w:rFonts w:ascii="Arial" w:eastAsia="Times New Roman" w:hAnsi="Arial" w:cs="Arial"/>
          <w:color w:val="000000"/>
        </w:rPr>
      </w:pPr>
      <w:hyperlink r:id="rId4" w:history="1">
        <w:proofErr w:type="spellStart"/>
        <w:r w:rsidR="00571390" w:rsidRPr="00571390">
          <w:rPr>
            <w:rFonts w:ascii="Arial" w:eastAsia="Times New Roman" w:hAnsi="Arial" w:cs="Arial"/>
            <w:color w:val="660066"/>
            <w:sz w:val="18"/>
            <w:u w:val="single"/>
          </w:rPr>
          <w:t>Weisbrod</w:t>
        </w:r>
        <w:proofErr w:type="spellEnd"/>
        <w:r w:rsidR="00571390" w:rsidRPr="00571390">
          <w:rPr>
            <w:rFonts w:ascii="Arial" w:eastAsia="Times New Roman" w:hAnsi="Arial" w:cs="Arial"/>
            <w:color w:val="660066"/>
            <w:sz w:val="18"/>
            <w:u w:val="single"/>
          </w:rPr>
          <w:t xml:space="preserve"> AV</w:t>
        </w:r>
      </w:hyperlink>
      <w:r w:rsidR="00571390" w:rsidRPr="00571390">
        <w:rPr>
          <w:rFonts w:ascii="Arial" w:eastAsia="Times New Roman" w:hAnsi="Arial" w:cs="Arial"/>
          <w:color w:val="000000"/>
        </w:rPr>
        <w:t>, </w:t>
      </w:r>
      <w:hyperlink r:id="rId5" w:history="1">
        <w:r w:rsidR="00571390" w:rsidRPr="00571390">
          <w:rPr>
            <w:rFonts w:ascii="Arial" w:eastAsia="Times New Roman" w:hAnsi="Arial" w:cs="Arial"/>
            <w:color w:val="660066"/>
            <w:sz w:val="18"/>
            <w:u w:val="single"/>
          </w:rPr>
          <w:t>Woodburn KB</w:t>
        </w:r>
      </w:hyperlink>
      <w:r w:rsidR="00571390" w:rsidRPr="00571390">
        <w:rPr>
          <w:rFonts w:ascii="Arial" w:eastAsia="Times New Roman" w:hAnsi="Arial" w:cs="Arial"/>
          <w:color w:val="000000"/>
        </w:rPr>
        <w:t>, </w:t>
      </w:r>
      <w:proofErr w:type="spellStart"/>
      <w:r w:rsidRPr="00571390">
        <w:rPr>
          <w:rFonts w:ascii="Arial" w:eastAsia="Times New Roman" w:hAnsi="Arial" w:cs="Arial"/>
          <w:color w:val="000000"/>
        </w:rPr>
        <w:fldChar w:fldCharType="begin"/>
      </w:r>
      <w:r w:rsidR="00571390" w:rsidRPr="00571390">
        <w:rPr>
          <w:rFonts w:ascii="Arial" w:eastAsia="Times New Roman" w:hAnsi="Arial" w:cs="Arial"/>
          <w:color w:val="000000"/>
        </w:rPr>
        <w:instrText xml:space="preserve"> HYPERLINK "http://www.ncbi.nlm.nih.gov/pubmed?term=%22Koelmans%20AA%22%5BAuthor%5D" </w:instrText>
      </w:r>
      <w:r w:rsidRPr="00571390">
        <w:rPr>
          <w:rFonts w:ascii="Arial" w:eastAsia="Times New Roman" w:hAnsi="Arial" w:cs="Arial"/>
          <w:color w:val="000000"/>
        </w:rPr>
        <w:fldChar w:fldCharType="separate"/>
      </w:r>
      <w:r w:rsidR="00571390" w:rsidRPr="00571390">
        <w:rPr>
          <w:rFonts w:ascii="Arial" w:eastAsia="Times New Roman" w:hAnsi="Arial" w:cs="Arial"/>
          <w:color w:val="660066"/>
          <w:sz w:val="18"/>
          <w:u w:val="single"/>
        </w:rPr>
        <w:t>Koelmans</w:t>
      </w:r>
      <w:proofErr w:type="spellEnd"/>
      <w:r w:rsidR="00571390" w:rsidRPr="00571390">
        <w:rPr>
          <w:rFonts w:ascii="Arial" w:eastAsia="Times New Roman" w:hAnsi="Arial" w:cs="Arial"/>
          <w:color w:val="660066"/>
          <w:sz w:val="18"/>
          <w:u w:val="single"/>
        </w:rPr>
        <w:t xml:space="preserve"> AA</w:t>
      </w:r>
      <w:r w:rsidRPr="00571390">
        <w:rPr>
          <w:rFonts w:ascii="Arial" w:eastAsia="Times New Roman" w:hAnsi="Arial" w:cs="Arial"/>
          <w:color w:val="000000"/>
        </w:rPr>
        <w:fldChar w:fldCharType="end"/>
      </w:r>
      <w:r w:rsidR="00571390" w:rsidRPr="00571390">
        <w:rPr>
          <w:rFonts w:ascii="Arial" w:eastAsia="Times New Roman" w:hAnsi="Arial" w:cs="Arial"/>
          <w:color w:val="000000"/>
        </w:rPr>
        <w:t>, </w:t>
      </w:r>
      <w:proofErr w:type="spellStart"/>
      <w:r w:rsidRPr="00571390">
        <w:rPr>
          <w:rFonts w:ascii="Arial" w:eastAsia="Times New Roman" w:hAnsi="Arial" w:cs="Arial"/>
          <w:color w:val="000000"/>
        </w:rPr>
        <w:fldChar w:fldCharType="begin"/>
      </w:r>
      <w:r w:rsidR="00571390" w:rsidRPr="00571390">
        <w:rPr>
          <w:rFonts w:ascii="Arial" w:eastAsia="Times New Roman" w:hAnsi="Arial" w:cs="Arial"/>
          <w:color w:val="000000"/>
        </w:rPr>
        <w:instrText xml:space="preserve"> HYPERLINK "http://www.ncbi.nlm.nih.gov/pubmed?term=%22Parkerton%20TF%22%5BAuthor%5D" </w:instrText>
      </w:r>
      <w:r w:rsidRPr="00571390">
        <w:rPr>
          <w:rFonts w:ascii="Arial" w:eastAsia="Times New Roman" w:hAnsi="Arial" w:cs="Arial"/>
          <w:color w:val="000000"/>
        </w:rPr>
        <w:fldChar w:fldCharType="separate"/>
      </w:r>
      <w:r w:rsidR="00571390" w:rsidRPr="00571390">
        <w:rPr>
          <w:rFonts w:ascii="Arial" w:eastAsia="Times New Roman" w:hAnsi="Arial" w:cs="Arial"/>
          <w:color w:val="660066"/>
          <w:sz w:val="18"/>
          <w:u w:val="single"/>
        </w:rPr>
        <w:t>Parkerton</w:t>
      </w:r>
      <w:proofErr w:type="spellEnd"/>
      <w:r w:rsidR="00571390" w:rsidRPr="00571390">
        <w:rPr>
          <w:rFonts w:ascii="Arial" w:eastAsia="Times New Roman" w:hAnsi="Arial" w:cs="Arial"/>
          <w:color w:val="660066"/>
          <w:sz w:val="18"/>
          <w:u w:val="single"/>
        </w:rPr>
        <w:t xml:space="preserve"> TF</w:t>
      </w:r>
      <w:r w:rsidRPr="00571390">
        <w:rPr>
          <w:rFonts w:ascii="Arial" w:eastAsia="Times New Roman" w:hAnsi="Arial" w:cs="Arial"/>
          <w:color w:val="000000"/>
        </w:rPr>
        <w:fldChar w:fldCharType="end"/>
      </w:r>
      <w:r w:rsidR="00571390" w:rsidRPr="00571390">
        <w:rPr>
          <w:rFonts w:ascii="Arial" w:eastAsia="Times New Roman" w:hAnsi="Arial" w:cs="Arial"/>
          <w:color w:val="000000"/>
        </w:rPr>
        <w:t>, </w:t>
      </w:r>
      <w:hyperlink r:id="rId6" w:history="1">
        <w:r w:rsidR="00571390" w:rsidRPr="00571390">
          <w:rPr>
            <w:rFonts w:ascii="Arial" w:eastAsia="Times New Roman" w:hAnsi="Arial" w:cs="Arial"/>
            <w:color w:val="660066"/>
            <w:sz w:val="18"/>
            <w:u w:val="single"/>
          </w:rPr>
          <w:t>McElroy AE</w:t>
        </w:r>
      </w:hyperlink>
      <w:r w:rsidR="00571390" w:rsidRPr="00571390">
        <w:rPr>
          <w:rFonts w:ascii="Arial" w:eastAsia="Times New Roman" w:hAnsi="Arial" w:cs="Arial"/>
          <w:color w:val="000000"/>
        </w:rPr>
        <w:t>, </w:t>
      </w:r>
      <w:proofErr w:type="spellStart"/>
      <w:r w:rsidRPr="00571390">
        <w:rPr>
          <w:rFonts w:ascii="Arial" w:eastAsia="Times New Roman" w:hAnsi="Arial" w:cs="Arial"/>
          <w:color w:val="000000"/>
        </w:rPr>
        <w:fldChar w:fldCharType="begin"/>
      </w:r>
      <w:r w:rsidR="00571390" w:rsidRPr="00571390">
        <w:rPr>
          <w:rFonts w:ascii="Arial" w:eastAsia="Times New Roman" w:hAnsi="Arial" w:cs="Arial"/>
          <w:color w:val="000000"/>
        </w:rPr>
        <w:instrText xml:space="preserve"> HYPERLINK "http://www.ncbi.nlm.nih.gov/pubmed?term=%22Borg%C3%A5%20K%22%5BAuthor%5D" </w:instrText>
      </w:r>
      <w:r w:rsidRPr="00571390">
        <w:rPr>
          <w:rFonts w:ascii="Arial" w:eastAsia="Times New Roman" w:hAnsi="Arial" w:cs="Arial"/>
          <w:color w:val="000000"/>
        </w:rPr>
        <w:fldChar w:fldCharType="separate"/>
      </w:r>
      <w:r w:rsidR="00571390" w:rsidRPr="00571390">
        <w:rPr>
          <w:rFonts w:ascii="Arial" w:eastAsia="Times New Roman" w:hAnsi="Arial" w:cs="Arial"/>
          <w:color w:val="660066"/>
          <w:sz w:val="18"/>
          <w:u w:val="single"/>
        </w:rPr>
        <w:t>Borgå</w:t>
      </w:r>
      <w:proofErr w:type="spellEnd"/>
      <w:r w:rsidR="00571390" w:rsidRPr="00571390">
        <w:rPr>
          <w:rFonts w:ascii="Arial" w:eastAsia="Times New Roman" w:hAnsi="Arial" w:cs="Arial"/>
          <w:color w:val="660066"/>
          <w:sz w:val="18"/>
          <w:u w:val="single"/>
        </w:rPr>
        <w:t xml:space="preserve"> K</w:t>
      </w:r>
      <w:r w:rsidRPr="00571390">
        <w:rPr>
          <w:rFonts w:ascii="Arial" w:eastAsia="Times New Roman" w:hAnsi="Arial" w:cs="Arial"/>
          <w:color w:val="000000"/>
        </w:rPr>
        <w:fldChar w:fldCharType="end"/>
      </w:r>
      <w:r w:rsidR="00571390" w:rsidRPr="00571390">
        <w:rPr>
          <w:rFonts w:ascii="Arial" w:eastAsia="Times New Roman" w:hAnsi="Arial" w:cs="Arial"/>
          <w:color w:val="000000"/>
        </w:rPr>
        <w:t>.</w:t>
      </w:r>
    </w:p>
    <w:p w:rsidR="00571390" w:rsidRDefault="00571390" w:rsidP="00571390">
      <w:pPr>
        <w:shd w:val="clear" w:color="auto" w:fill="FFFFFF"/>
        <w:spacing w:after="0" w:line="240" w:lineRule="auto"/>
        <w:textAlignment w:val="baseline"/>
        <w:outlineLvl w:val="2"/>
        <w:rPr>
          <w:rFonts w:ascii="Arial" w:eastAsia="Times New Roman" w:hAnsi="Arial" w:cs="Arial"/>
          <w:b/>
          <w:bCs/>
          <w:color w:val="985735"/>
        </w:rPr>
      </w:pPr>
    </w:p>
    <w:p w:rsidR="00571390" w:rsidRDefault="00571390" w:rsidP="00571390">
      <w:pPr>
        <w:shd w:val="clear" w:color="auto" w:fill="FFFFFF"/>
        <w:spacing w:after="0" w:line="240" w:lineRule="auto"/>
        <w:textAlignment w:val="baseline"/>
        <w:outlineLvl w:val="2"/>
        <w:rPr>
          <w:rFonts w:ascii="Arial" w:eastAsia="Times New Roman" w:hAnsi="Arial" w:cs="Arial"/>
          <w:b/>
          <w:bCs/>
          <w:color w:val="985735"/>
        </w:rPr>
      </w:pPr>
      <w:r w:rsidRPr="00571390">
        <w:rPr>
          <w:rFonts w:ascii="Arial" w:eastAsia="Times New Roman" w:hAnsi="Arial" w:cs="Arial"/>
          <w:b/>
          <w:bCs/>
          <w:color w:val="985735"/>
        </w:rPr>
        <w:t>Abstract</w:t>
      </w:r>
    </w:p>
    <w:p w:rsidR="00571390" w:rsidRPr="00571390" w:rsidRDefault="00571390" w:rsidP="00571390">
      <w:pPr>
        <w:shd w:val="clear" w:color="auto" w:fill="FFFFFF"/>
        <w:spacing w:after="0" w:line="240" w:lineRule="auto"/>
        <w:textAlignment w:val="baseline"/>
        <w:outlineLvl w:val="2"/>
        <w:rPr>
          <w:rFonts w:ascii="Arial" w:eastAsia="Times New Roman" w:hAnsi="Arial" w:cs="Arial"/>
          <w:b/>
          <w:bCs/>
          <w:color w:val="985735"/>
        </w:rPr>
      </w:pPr>
    </w:p>
    <w:p w:rsidR="00571390" w:rsidRDefault="00571390" w:rsidP="00571390">
      <w:pPr>
        <w:shd w:val="clear" w:color="auto" w:fill="FFFFFF"/>
        <w:spacing w:after="120" w:line="260" w:lineRule="atLeast"/>
        <w:ind w:firstLine="720"/>
        <w:jc w:val="both"/>
        <w:textAlignment w:val="baseline"/>
        <w:rPr>
          <w:rFonts w:ascii="Arial" w:eastAsia="Times New Roman" w:hAnsi="Arial" w:cs="Arial"/>
          <w:color w:val="000000"/>
          <w:sz w:val="20"/>
          <w:szCs w:val="20"/>
        </w:rPr>
      </w:pPr>
      <w:r w:rsidRPr="00571390">
        <w:rPr>
          <w:rFonts w:ascii="Arial" w:eastAsia="Times New Roman" w:hAnsi="Arial" w:cs="Arial"/>
          <w:color w:val="000000"/>
          <w:sz w:val="20"/>
          <w:szCs w:val="20"/>
        </w:rPr>
        <w:t xml:space="preserve">A primary consideration in the evaluation of chemicals is the potential for substances to be absorbed and retained in an organism's tissues (i.e., </w:t>
      </w:r>
      <w:proofErr w:type="spellStart"/>
      <w:r w:rsidRPr="00571390">
        <w:rPr>
          <w:rFonts w:ascii="Arial" w:eastAsia="Times New Roman" w:hAnsi="Arial" w:cs="Arial"/>
          <w:color w:val="000000"/>
          <w:sz w:val="20"/>
          <w:szCs w:val="20"/>
        </w:rPr>
        <w:t>bioaccumulated</w:t>
      </w:r>
      <w:proofErr w:type="spellEnd"/>
      <w:r w:rsidRPr="00571390">
        <w:rPr>
          <w:rFonts w:ascii="Arial" w:eastAsia="Times New Roman" w:hAnsi="Arial" w:cs="Arial"/>
          <w:color w:val="000000"/>
          <w:sz w:val="20"/>
          <w:szCs w:val="20"/>
        </w:rPr>
        <w:t xml:space="preserve">) at concentrations sufficient to pose health concerns. Substances that exhibit properties that enable </w:t>
      </w:r>
      <w:proofErr w:type="spellStart"/>
      <w:r w:rsidRPr="00571390">
        <w:rPr>
          <w:rFonts w:ascii="Arial" w:eastAsia="Times New Roman" w:hAnsi="Arial" w:cs="Arial"/>
          <w:color w:val="000000"/>
          <w:sz w:val="20"/>
          <w:szCs w:val="20"/>
        </w:rPr>
        <w:t>biomagnification</w:t>
      </w:r>
      <w:proofErr w:type="spellEnd"/>
      <w:r w:rsidRPr="00571390">
        <w:rPr>
          <w:rFonts w:ascii="Arial" w:eastAsia="Times New Roman" w:hAnsi="Arial" w:cs="Arial"/>
          <w:color w:val="000000"/>
          <w:sz w:val="20"/>
          <w:szCs w:val="20"/>
        </w:rPr>
        <w:t xml:space="preserve"> in the food chain (i.e., amplification of tissue concentrations at successive </w:t>
      </w:r>
      <w:proofErr w:type="spellStart"/>
      <w:r w:rsidRPr="00571390">
        <w:rPr>
          <w:rFonts w:ascii="Arial" w:eastAsia="Times New Roman" w:hAnsi="Arial" w:cs="Arial"/>
          <w:color w:val="000000"/>
          <w:sz w:val="20"/>
          <w:szCs w:val="20"/>
        </w:rPr>
        <w:t>trophic</w:t>
      </w:r>
      <w:proofErr w:type="spellEnd"/>
      <w:r w:rsidRPr="00571390">
        <w:rPr>
          <w:rFonts w:ascii="Arial" w:eastAsia="Times New Roman" w:hAnsi="Arial" w:cs="Arial"/>
          <w:color w:val="000000"/>
          <w:sz w:val="20"/>
          <w:szCs w:val="20"/>
        </w:rPr>
        <w:t xml:space="preserve"> levels) are of particular concern due to the elevated long-term exposures these substances pose to higher </w:t>
      </w:r>
      <w:proofErr w:type="spellStart"/>
      <w:r w:rsidRPr="00571390">
        <w:rPr>
          <w:rFonts w:ascii="Arial" w:eastAsia="Times New Roman" w:hAnsi="Arial" w:cs="Arial"/>
          <w:color w:val="000000"/>
          <w:sz w:val="20"/>
          <w:szCs w:val="20"/>
        </w:rPr>
        <w:t>trophic</w:t>
      </w:r>
      <w:proofErr w:type="spellEnd"/>
      <w:r w:rsidRPr="00571390">
        <w:rPr>
          <w:rFonts w:ascii="Arial" w:eastAsia="Times New Roman" w:hAnsi="Arial" w:cs="Arial"/>
          <w:color w:val="000000"/>
          <w:sz w:val="20"/>
          <w:szCs w:val="20"/>
        </w:rPr>
        <w:t xml:space="preserve"> organisms, including humans. Historically, biomarkers of in vivo chemical exposure (e.g., eggshell thinning, bill deformities) retrospectively led to the identification of such compounds, which were later categorized as persistent organic pollutants. Today, multiple bioaccumulation metrics are available to quantitatively assess the bioaccumulation potential of new and existing chemicals and identify substances that, upon or before environmental release, may be characterized as persistent organic pollutants. This paper reviews the various in vivo measurement approaches that can be used to assess the bioaccumulation of chemicals in aquatic or terrestrial species using laboratory-exposed, field-deployed, or collected organisms. Important issues associated with laboratory measurements of bioaccumulation include appropriate test species selection, test chemical dosing methods, exposure duration, and chemical and statistical analyses. Measuring bioaccumulation at a particular field site requires consideration of which test species to use and whether to examine natural populations or to use field-deployed populations. Both laboratory and field methods also require reliable determination of chemical concentrations in exposure media of interest (i.e., water, sediment, food or prey, etc.), accumulated body residues, or both. The advantages and disadvantages of various laboratory and field bioaccumulation metrics for assessing </w:t>
      </w:r>
      <w:proofErr w:type="spellStart"/>
      <w:r w:rsidRPr="00571390">
        <w:rPr>
          <w:rFonts w:ascii="Arial" w:eastAsia="Times New Roman" w:hAnsi="Arial" w:cs="Arial"/>
          <w:color w:val="000000"/>
          <w:sz w:val="20"/>
          <w:szCs w:val="20"/>
        </w:rPr>
        <w:t>biomagnification</w:t>
      </w:r>
      <w:proofErr w:type="spellEnd"/>
      <w:r w:rsidRPr="00571390">
        <w:rPr>
          <w:rFonts w:ascii="Arial" w:eastAsia="Times New Roman" w:hAnsi="Arial" w:cs="Arial"/>
          <w:color w:val="000000"/>
          <w:sz w:val="20"/>
          <w:szCs w:val="20"/>
        </w:rPr>
        <w:t xml:space="preserve"> potential in aquatic or terrestrial food chains are discussed. Guidance is provided on how to consider the uncertainty in these metrics and develop a weight-of-evidence evaluation that supports technically sound and consistent persistent organic pollutant and persistent, </w:t>
      </w:r>
      <w:proofErr w:type="spellStart"/>
      <w:r w:rsidRPr="00571390">
        <w:rPr>
          <w:rFonts w:ascii="Arial" w:eastAsia="Times New Roman" w:hAnsi="Arial" w:cs="Arial"/>
          <w:color w:val="000000"/>
          <w:sz w:val="20"/>
          <w:szCs w:val="20"/>
        </w:rPr>
        <w:t>bioaccumulative</w:t>
      </w:r>
      <w:proofErr w:type="spellEnd"/>
      <w:r w:rsidRPr="00571390">
        <w:rPr>
          <w:rFonts w:ascii="Arial" w:eastAsia="Times New Roman" w:hAnsi="Arial" w:cs="Arial"/>
          <w:color w:val="000000"/>
          <w:sz w:val="20"/>
          <w:szCs w:val="20"/>
        </w:rPr>
        <w:t>, and toxic chemical identification. Based on the bioaccumulation information shared in 8 draft risk profiles submitted for review under the United Nations Stockholm Convention, recommendations are given for the information that is most critical to aid transparency and consistency in decision making.</w:t>
      </w:r>
    </w:p>
    <w:p w:rsidR="003B1557" w:rsidRDefault="003B1557" w:rsidP="00571390">
      <w:pPr>
        <w:shd w:val="clear" w:color="auto" w:fill="FFFFFF"/>
        <w:spacing w:after="120" w:line="260" w:lineRule="atLeast"/>
        <w:ind w:firstLine="720"/>
        <w:jc w:val="both"/>
        <w:textAlignment w:val="baseline"/>
        <w:rPr>
          <w:rFonts w:ascii="Arial" w:eastAsia="Times New Roman" w:hAnsi="Arial" w:cs="Arial"/>
          <w:color w:val="000000"/>
          <w:sz w:val="20"/>
          <w:szCs w:val="20"/>
        </w:rPr>
      </w:pPr>
    </w:p>
    <w:p w:rsidR="003B1557" w:rsidRPr="003B1557" w:rsidRDefault="003B1557" w:rsidP="001A45A9">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003B1557">
        <w:rPr>
          <w:rFonts w:ascii="Verdana" w:eastAsia="Times New Roman" w:hAnsi="Verdana" w:cs="Times New Roman"/>
          <w:b/>
          <w:bCs/>
          <w:color w:val="000000" w:themeColor="text1"/>
          <w:sz w:val="18"/>
          <w:szCs w:val="18"/>
          <w:bdr w:val="none" w:sz="0" w:space="0" w:color="auto" w:frame="1"/>
          <w:shd w:val="clear" w:color="auto" w:fill="F5F5EB"/>
        </w:rPr>
        <w:t>Significance and Use</w:t>
      </w:r>
    </w:p>
    <w:p w:rsidR="003B1557" w:rsidRPr="003B1557" w:rsidRDefault="003B1557" w:rsidP="001A45A9">
      <w:pPr>
        <w:shd w:val="clear" w:color="auto" w:fill="FFFFFF" w:themeFill="background1"/>
        <w:spacing w:after="0" w:line="276" w:lineRule="atLeast"/>
        <w:jc w:val="both"/>
        <w:rPr>
          <w:rFonts w:ascii="Verdana" w:eastAsia="Times New Roman" w:hAnsi="Verdana" w:cs="Times New Roman"/>
          <w:color w:val="000000" w:themeColor="text1"/>
          <w:sz w:val="18"/>
          <w:szCs w:val="18"/>
        </w:rPr>
      </w:pPr>
      <w:r w:rsidRPr="003B1557">
        <w:rPr>
          <w:rFonts w:ascii="Verdana" w:eastAsia="Times New Roman" w:hAnsi="Verdana" w:cs="Times New Roman"/>
          <w:color w:val="000000" w:themeColor="text1"/>
          <w:sz w:val="18"/>
          <w:szCs w:val="18"/>
        </w:rPr>
        <w:t>Sediment exposure evaluations are a critical component for both ecological and human health risk assessments. Credible, cost-effective methods are required to determine the rate and extent of bioaccumulation given the potential importance of bioaccumulation by benthic organisms. Standardized test methods to assess the bioavailability of sediment-associated contaminants are required to assist in the development of sediment quality guidelines</w:t>
      </w:r>
      <w:r w:rsidRPr="001A45A9">
        <w:rPr>
          <w:rFonts w:ascii="Verdana" w:eastAsia="Times New Roman" w:hAnsi="Verdana" w:cs="Times New Roman"/>
          <w:color w:val="000000" w:themeColor="text1"/>
          <w:sz w:val="18"/>
        </w:rPr>
        <w:t> </w:t>
      </w:r>
      <w:r w:rsidRPr="001A45A9">
        <w:rPr>
          <w:rFonts w:ascii="Verdana" w:eastAsia="Times New Roman" w:hAnsi="Verdana" w:cs="Times New Roman"/>
          <w:b/>
          <w:bCs/>
          <w:color w:val="000000" w:themeColor="text1"/>
          <w:sz w:val="18"/>
        </w:rPr>
        <w:t xml:space="preserve">(1, 2, </w:t>
      </w:r>
      <w:proofErr w:type="gramStart"/>
      <w:r w:rsidRPr="001A45A9">
        <w:rPr>
          <w:rFonts w:ascii="Verdana" w:eastAsia="Times New Roman" w:hAnsi="Verdana" w:cs="Times New Roman"/>
          <w:b/>
          <w:bCs/>
          <w:color w:val="000000" w:themeColor="text1"/>
          <w:sz w:val="18"/>
        </w:rPr>
        <w:t>3</w:t>
      </w:r>
      <w:proofErr w:type="gramEnd"/>
      <w:r w:rsidRPr="001A45A9">
        <w:rPr>
          <w:rFonts w:ascii="Verdana" w:eastAsia="Times New Roman" w:hAnsi="Verdana" w:cs="Times New Roman"/>
          <w:b/>
          <w:bCs/>
          <w:color w:val="000000" w:themeColor="text1"/>
          <w:sz w:val="18"/>
        </w:rPr>
        <w:t>)</w:t>
      </w:r>
      <w:r w:rsidRPr="001A45A9">
        <w:rPr>
          <w:rFonts w:ascii="Verdana" w:eastAsia="Times New Roman" w:hAnsi="Verdana" w:cs="Times New Roman"/>
          <w:color w:val="000000" w:themeColor="text1"/>
          <w:sz w:val="18"/>
        </w:rPr>
        <w:t> </w:t>
      </w:r>
      <w:r w:rsidRPr="003B1557">
        <w:rPr>
          <w:rFonts w:ascii="Verdana" w:eastAsia="Times New Roman" w:hAnsi="Verdana" w:cs="Times New Roman"/>
          <w:color w:val="000000" w:themeColor="text1"/>
          <w:sz w:val="18"/>
          <w:szCs w:val="18"/>
        </w:rPr>
        <w:t>and to assess the potential impacts of disposal of dredge materials</w:t>
      </w:r>
      <w:r w:rsidRPr="001A45A9">
        <w:rPr>
          <w:rFonts w:ascii="Verdana" w:eastAsia="Times New Roman" w:hAnsi="Verdana" w:cs="Times New Roman"/>
          <w:color w:val="000000" w:themeColor="text1"/>
          <w:sz w:val="18"/>
        </w:rPr>
        <w:t> </w:t>
      </w:r>
      <w:r w:rsidRPr="001A45A9">
        <w:rPr>
          <w:rFonts w:ascii="Verdana" w:eastAsia="Times New Roman" w:hAnsi="Verdana" w:cs="Times New Roman"/>
          <w:b/>
          <w:bCs/>
          <w:color w:val="000000" w:themeColor="text1"/>
          <w:sz w:val="18"/>
        </w:rPr>
        <w:t>(4)</w:t>
      </w:r>
      <w:r w:rsidRPr="003B1557">
        <w:rPr>
          <w:rFonts w:ascii="Verdana" w:eastAsia="Times New Roman" w:hAnsi="Verdana" w:cs="Times New Roman"/>
          <w:color w:val="000000" w:themeColor="text1"/>
          <w:sz w:val="18"/>
          <w:szCs w:val="18"/>
        </w:rPr>
        <w:t>.</w:t>
      </w:r>
    </w:p>
    <w:p w:rsidR="003B1557" w:rsidRPr="003B1557" w:rsidRDefault="003B1557" w:rsidP="001A45A9">
      <w:pPr>
        <w:shd w:val="clear" w:color="auto" w:fill="FFFFFF" w:themeFill="background1"/>
        <w:spacing w:after="184" w:line="276" w:lineRule="atLeast"/>
        <w:jc w:val="both"/>
        <w:rPr>
          <w:rFonts w:ascii="Verdana" w:eastAsia="Times New Roman" w:hAnsi="Verdana" w:cs="Times New Roman"/>
          <w:color w:val="000000" w:themeColor="text1"/>
          <w:sz w:val="18"/>
          <w:szCs w:val="18"/>
        </w:rPr>
      </w:pPr>
      <w:r w:rsidRPr="003B1557">
        <w:rPr>
          <w:rFonts w:ascii="Verdana" w:eastAsia="Times New Roman" w:hAnsi="Verdana" w:cs="Times New Roman"/>
          <w:color w:val="000000" w:themeColor="text1"/>
          <w:sz w:val="18"/>
          <w:szCs w:val="18"/>
        </w:rPr>
        <w:t xml:space="preserve">The extent to which sediment-associated contaminants are biologically available and </w:t>
      </w:r>
      <w:proofErr w:type="spellStart"/>
      <w:r w:rsidRPr="003B1557">
        <w:rPr>
          <w:rFonts w:ascii="Verdana" w:eastAsia="Times New Roman" w:hAnsi="Verdana" w:cs="Times New Roman"/>
          <w:color w:val="000000" w:themeColor="text1"/>
          <w:sz w:val="18"/>
          <w:szCs w:val="18"/>
        </w:rPr>
        <w:t>bioaccumulated</w:t>
      </w:r>
      <w:proofErr w:type="spellEnd"/>
      <w:r w:rsidRPr="003B1557">
        <w:rPr>
          <w:rFonts w:ascii="Verdana" w:eastAsia="Times New Roman" w:hAnsi="Verdana" w:cs="Times New Roman"/>
          <w:color w:val="000000" w:themeColor="text1"/>
          <w:sz w:val="18"/>
          <w:szCs w:val="18"/>
        </w:rPr>
        <w:t xml:space="preserve"> is important in order to assess their direct effects on sediment-dwelling organisms and assess their transport to higher </w:t>
      </w:r>
      <w:proofErr w:type="spellStart"/>
      <w:r w:rsidRPr="003B1557">
        <w:rPr>
          <w:rFonts w:ascii="Verdana" w:eastAsia="Times New Roman" w:hAnsi="Verdana" w:cs="Times New Roman"/>
          <w:color w:val="000000" w:themeColor="text1"/>
          <w:sz w:val="18"/>
          <w:szCs w:val="18"/>
        </w:rPr>
        <w:t>trophic</w:t>
      </w:r>
      <w:proofErr w:type="spellEnd"/>
      <w:r w:rsidRPr="003B1557">
        <w:rPr>
          <w:rFonts w:ascii="Verdana" w:eastAsia="Times New Roman" w:hAnsi="Verdana" w:cs="Times New Roman"/>
          <w:color w:val="000000" w:themeColor="text1"/>
          <w:sz w:val="18"/>
          <w:szCs w:val="18"/>
        </w:rPr>
        <w:t xml:space="preserve"> levels. Controlled studies are required to determine the potential for bioaccumulation that can be interpreted and modeled for predicting the impact of accumulated chemicals. The data collected by these methods should be correlated with the current understanding of toxicity or human health risks to augment the hazard interpretation for contaminated sediments.</w:t>
      </w:r>
    </w:p>
    <w:p w:rsidR="003B1557" w:rsidRPr="003B1557" w:rsidRDefault="003B1557" w:rsidP="001A45A9">
      <w:pPr>
        <w:shd w:val="clear" w:color="auto" w:fill="FFFFFF" w:themeFill="background1"/>
        <w:spacing w:after="0" w:line="276" w:lineRule="atLeast"/>
        <w:jc w:val="both"/>
        <w:rPr>
          <w:rFonts w:ascii="Verdana" w:eastAsia="Times New Roman" w:hAnsi="Verdana" w:cs="Times New Roman"/>
          <w:color w:val="000000" w:themeColor="text1"/>
          <w:sz w:val="18"/>
          <w:szCs w:val="18"/>
        </w:rPr>
      </w:pPr>
      <w:r w:rsidRPr="003B1557">
        <w:rPr>
          <w:rFonts w:ascii="Verdana" w:eastAsia="Times New Roman" w:hAnsi="Verdana" w:cs="Times New Roman"/>
          <w:b/>
          <w:bCs/>
          <w:color w:val="000000" w:themeColor="text1"/>
          <w:sz w:val="18"/>
          <w:szCs w:val="18"/>
          <w:bdr w:val="none" w:sz="0" w:space="0" w:color="auto" w:frame="1"/>
        </w:rPr>
        <w:t>1. Scope</w:t>
      </w:r>
    </w:p>
    <w:p w:rsidR="003B1557" w:rsidRPr="003B1557" w:rsidRDefault="003B1557" w:rsidP="001A45A9">
      <w:pPr>
        <w:shd w:val="clear" w:color="auto" w:fill="FFFFFF" w:themeFill="background1"/>
        <w:spacing w:after="0" w:line="276" w:lineRule="atLeast"/>
        <w:jc w:val="both"/>
        <w:rPr>
          <w:rFonts w:ascii="Verdana" w:eastAsia="Times New Roman" w:hAnsi="Verdana" w:cs="Times New Roman"/>
          <w:color w:val="000000" w:themeColor="text1"/>
          <w:sz w:val="18"/>
          <w:szCs w:val="18"/>
        </w:rPr>
      </w:pPr>
      <w:r w:rsidRPr="003B1557">
        <w:rPr>
          <w:rFonts w:ascii="Verdana" w:eastAsia="Times New Roman" w:hAnsi="Verdana" w:cs="Times New Roman"/>
          <w:color w:val="000000" w:themeColor="text1"/>
          <w:sz w:val="18"/>
          <w:szCs w:val="18"/>
        </w:rPr>
        <w:lastRenderedPageBreak/>
        <w:t xml:space="preserve">1.1 This guide covers procedures for measuring the bioaccumulation of sediment-associated contaminants by </w:t>
      </w:r>
      <w:proofErr w:type="spellStart"/>
      <w:r w:rsidRPr="003B1557">
        <w:rPr>
          <w:rFonts w:ascii="Verdana" w:eastAsia="Times New Roman" w:hAnsi="Verdana" w:cs="Times New Roman"/>
          <w:color w:val="000000" w:themeColor="text1"/>
          <w:sz w:val="18"/>
          <w:szCs w:val="18"/>
        </w:rPr>
        <w:t>infaunal</w:t>
      </w:r>
      <w:proofErr w:type="spellEnd"/>
      <w:r w:rsidRPr="003B1557">
        <w:rPr>
          <w:rFonts w:ascii="Verdana" w:eastAsia="Times New Roman" w:hAnsi="Verdana" w:cs="Times New Roman"/>
          <w:color w:val="000000" w:themeColor="text1"/>
          <w:sz w:val="18"/>
          <w:szCs w:val="18"/>
        </w:rPr>
        <w:t xml:space="preserve"> invertebrates. Marine, estuarine, and freshwater sediments are a major sink for chemicals that </w:t>
      </w:r>
      <w:proofErr w:type="spellStart"/>
      <w:r w:rsidRPr="003B1557">
        <w:rPr>
          <w:rFonts w:ascii="Verdana" w:eastAsia="Times New Roman" w:hAnsi="Verdana" w:cs="Times New Roman"/>
          <w:color w:val="000000" w:themeColor="text1"/>
          <w:sz w:val="18"/>
          <w:szCs w:val="18"/>
        </w:rPr>
        <w:t>sorb</w:t>
      </w:r>
      <w:proofErr w:type="spellEnd"/>
      <w:r w:rsidRPr="003B1557">
        <w:rPr>
          <w:rFonts w:ascii="Verdana" w:eastAsia="Times New Roman" w:hAnsi="Verdana" w:cs="Times New Roman"/>
          <w:color w:val="000000" w:themeColor="text1"/>
          <w:sz w:val="18"/>
          <w:szCs w:val="18"/>
        </w:rPr>
        <w:t xml:space="preserve"> preferentially to particles, such as organic compounds with high </w:t>
      </w:r>
      <w:proofErr w:type="spellStart"/>
      <w:r w:rsidRPr="003B1557">
        <w:rPr>
          <w:rFonts w:ascii="Verdana" w:eastAsia="Times New Roman" w:hAnsi="Verdana" w:cs="Times New Roman"/>
          <w:color w:val="000000" w:themeColor="text1"/>
          <w:sz w:val="18"/>
          <w:szCs w:val="18"/>
        </w:rPr>
        <w:t>octanol</w:t>
      </w:r>
      <w:proofErr w:type="spellEnd"/>
      <w:r w:rsidRPr="003B1557">
        <w:rPr>
          <w:rFonts w:ascii="Verdana" w:eastAsia="Times New Roman" w:hAnsi="Verdana" w:cs="Times New Roman"/>
          <w:color w:val="000000" w:themeColor="text1"/>
          <w:sz w:val="18"/>
          <w:szCs w:val="18"/>
        </w:rPr>
        <w:t>-water-partitioning coefficients (</w:t>
      </w:r>
      <w:proofErr w:type="spellStart"/>
      <w:r w:rsidRPr="001A45A9">
        <w:rPr>
          <w:rFonts w:ascii="Verdana" w:eastAsia="Times New Roman" w:hAnsi="Verdana" w:cs="Times New Roman"/>
          <w:i/>
          <w:iCs/>
          <w:color w:val="000000" w:themeColor="text1"/>
          <w:sz w:val="18"/>
        </w:rPr>
        <w:t>K</w:t>
      </w:r>
      <w:r w:rsidRPr="001A45A9">
        <w:rPr>
          <w:rFonts w:ascii="Verdana" w:eastAsia="Times New Roman" w:hAnsi="Verdana" w:cs="Times New Roman"/>
          <w:i/>
          <w:iCs/>
          <w:color w:val="000000" w:themeColor="text1"/>
          <w:sz w:val="18"/>
          <w:vertAlign w:val="subscript"/>
        </w:rPr>
        <w:t>ow</w:t>
      </w:r>
      <w:proofErr w:type="spellEnd"/>
      <w:r w:rsidRPr="003B1557">
        <w:rPr>
          <w:rFonts w:ascii="Verdana" w:eastAsia="Times New Roman" w:hAnsi="Verdana" w:cs="Times New Roman"/>
          <w:color w:val="000000" w:themeColor="text1"/>
          <w:sz w:val="18"/>
          <w:szCs w:val="18"/>
        </w:rPr>
        <w:t>) (for example, polychlorinated biphenyls (PCBs) and dichlorodiphenyltrichloroethane (DDT)) and many metals. The accumulation of chemicals into whole or bedded sediments (that is, consolidated rather than suspended sediments) reduces their direct bioavailability to pelagic organisms but increases the exposure of benthic organisms. Feeding of pelagic organisms on benthic prey can reintroduce sediment-associated contaminants into pelagic food webs. The bioaccumulation of sediment-associated contaminants by sediment-dwelling organisms can therefore result in ecological impacts on benthic and pelagic communities and human health from the consumption of contaminated shellfish or pelagic fish.</w:t>
      </w:r>
    </w:p>
    <w:p w:rsidR="003B1557" w:rsidRPr="003B1557" w:rsidRDefault="003B1557" w:rsidP="001A45A9">
      <w:pPr>
        <w:shd w:val="clear" w:color="auto" w:fill="FFFFFF" w:themeFill="background1"/>
        <w:spacing w:after="0" w:line="276" w:lineRule="atLeast"/>
        <w:jc w:val="both"/>
        <w:rPr>
          <w:rFonts w:ascii="Verdana" w:eastAsia="Times New Roman" w:hAnsi="Verdana" w:cs="Times New Roman"/>
          <w:color w:val="000000" w:themeColor="text1"/>
          <w:sz w:val="18"/>
          <w:szCs w:val="18"/>
        </w:rPr>
      </w:pPr>
      <w:r w:rsidRPr="003B1557">
        <w:rPr>
          <w:rFonts w:ascii="Verdana" w:eastAsia="Times New Roman" w:hAnsi="Verdana" w:cs="Times New Roman"/>
          <w:color w:val="000000" w:themeColor="text1"/>
          <w:sz w:val="18"/>
          <w:szCs w:val="18"/>
        </w:rPr>
        <w:t xml:space="preserve">1.2 Methods of measuring bioaccumulation by </w:t>
      </w:r>
      <w:proofErr w:type="spellStart"/>
      <w:r w:rsidRPr="003B1557">
        <w:rPr>
          <w:rFonts w:ascii="Verdana" w:eastAsia="Times New Roman" w:hAnsi="Verdana" w:cs="Times New Roman"/>
          <w:color w:val="000000" w:themeColor="text1"/>
          <w:sz w:val="18"/>
          <w:szCs w:val="18"/>
        </w:rPr>
        <w:t>infaunal</w:t>
      </w:r>
      <w:proofErr w:type="spellEnd"/>
      <w:r w:rsidRPr="003B1557">
        <w:rPr>
          <w:rFonts w:ascii="Verdana" w:eastAsia="Times New Roman" w:hAnsi="Verdana" w:cs="Times New Roman"/>
          <w:color w:val="000000" w:themeColor="text1"/>
          <w:sz w:val="18"/>
          <w:szCs w:val="18"/>
        </w:rPr>
        <w:t xml:space="preserve"> organisms from marine, estuarine, and freshwater sediments containing organic or metal contaminates will be discussed. The procedures are designed to generate quantitative estimates of steady-state tissue residues because data from bioaccumulation tests are often used in ecological or human health risk assessments. Eighty percent of steady-state is used as the general criterion. Because the results from a single or few species are often extrapolated to other species, the procedures are designed to maximize exposure to sediment-associated contaminants so that residues in untested species are not underestimated systematically. A 28-day exposure with sediment-ingesting invertebrates and no supplemental food is recommended as the standard single sampling procedure. Procedures for long-term and kinetic tests are provided for use when 80 % of steady-state will not be obtained within 28 days or when more precise estimates of steady-state tissue residues are required. The procedures are adaptable to shorter exposures and different feeding types. Exposures shorter than 28 days may be used to identify which compounds are </w:t>
      </w:r>
      <w:proofErr w:type="spellStart"/>
      <w:r w:rsidRPr="003B1557">
        <w:rPr>
          <w:rFonts w:ascii="Verdana" w:eastAsia="Times New Roman" w:hAnsi="Verdana" w:cs="Times New Roman"/>
          <w:color w:val="000000" w:themeColor="text1"/>
          <w:sz w:val="18"/>
          <w:szCs w:val="18"/>
        </w:rPr>
        <w:t>bioavailable</w:t>
      </w:r>
      <w:proofErr w:type="spellEnd"/>
      <w:r w:rsidRPr="003B1557">
        <w:rPr>
          <w:rFonts w:ascii="Verdana" w:eastAsia="Times New Roman" w:hAnsi="Verdana" w:cs="Times New Roman"/>
          <w:color w:val="000000" w:themeColor="text1"/>
          <w:sz w:val="18"/>
          <w:szCs w:val="18"/>
        </w:rPr>
        <w:t xml:space="preserve"> (that is, bioaccumulation potential) or for testing species that do not live for 28 days in the sediment (for example, certain</w:t>
      </w:r>
      <w:r w:rsidRPr="001A45A9">
        <w:rPr>
          <w:rFonts w:ascii="Verdana" w:eastAsia="Times New Roman" w:hAnsi="Verdana" w:cs="Times New Roman"/>
          <w:color w:val="000000" w:themeColor="text1"/>
          <w:sz w:val="18"/>
        </w:rPr>
        <w:t> </w:t>
      </w:r>
      <w:proofErr w:type="spellStart"/>
      <w:r w:rsidRPr="001A45A9">
        <w:rPr>
          <w:rFonts w:ascii="Verdana" w:eastAsia="Times New Roman" w:hAnsi="Verdana" w:cs="Times New Roman"/>
          <w:i/>
          <w:iCs/>
          <w:color w:val="000000" w:themeColor="text1"/>
          <w:sz w:val="18"/>
        </w:rPr>
        <w:t>Chironomus</w:t>
      </w:r>
      <w:proofErr w:type="spellEnd"/>
      <w:r w:rsidRPr="003B1557">
        <w:rPr>
          <w:rFonts w:ascii="Verdana" w:eastAsia="Times New Roman" w:hAnsi="Verdana" w:cs="Times New Roman"/>
          <w:color w:val="000000" w:themeColor="text1"/>
          <w:sz w:val="18"/>
          <w:szCs w:val="18"/>
        </w:rPr>
        <w:t>). Non-sediment-</w:t>
      </w:r>
      <w:proofErr w:type="spellStart"/>
      <w:r w:rsidRPr="003B1557">
        <w:rPr>
          <w:rFonts w:ascii="Verdana" w:eastAsia="Times New Roman" w:hAnsi="Verdana" w:cs="Times New Roman"/>
          <w:color w:val="000000" w:themeColor="text1"/>
          <w:sz w:val="18"/>
          <w:szCs w:val="18"/>
        </w:rPr>
        <w:t>ingestors</w:t>
      </w:r>
      <w:proofErr w:type="spellEnd"/>
      <w:r w:rsidRPr="003B1557">
        <w:rPr>
          <w:rFonts w:ascii="Verdana" w:eastAsia="Times New Roman" w:hAnsi="Verdana" w:cs="Times New Roman"/>
          <w:color w:val="000000" w:themeColor="text1"/>
          <w:sz w:val="18"/>
          <w:szCs w:val="18"/>
        </w:rPr>
        <w:t xml:space="preserve"> or species requiring supplementary food may be used if the goal is to determine uptake in these particular species because of their importance in ecological or human health risk assessments. However, the results from such species should not be extrapolated to other species.</w:t>
      </w:r>
    </w:p>
    <w:p w:rsidR="003B1557" w:rsidRPr="003B1557" w:rsidRDefault="003B1557" w:rsidP="001A45A9">
      <w:pPr>
        <w:shd w:val="clear" w:color="auto" w:fill="FFFFFF" w:themeFill="background1"/>
        <w:spacing w:after="0" w:line="276" w:lineRule="atLeast"/>
        <w:jc w:val="both"/>
        <w:rPr>
          <w:rFonts w:ascii="Verdana" w:eastAsia="Times New Roman" w:hAnsi="Verdana" w:cs="Times New Roman"/>
          <w:color w:val="000000" w:themeColor="text1"/>
          <w:sz w:val="18"/>
          <w:szCs w:val="18"/>
        </w:rPr>
      </w:pPr>
      <w:r w:rsidRPr="003B1557">
        <w:rPr>
          <w:rFonts w:ascii="Verdana" w:eastAsia="Times New Roman" w:hAnsi="Verdana" w:cs="Times New Roman"/>
          <w:color w:val="000000" w:themeColor="text1"/>
          <w:sz w:val="18"/>
          <w:szCs w:val="18"/>
        </w:rPr>
        <w:t>1.3 Standard test methods are still under development, and much of this guide is based on techniques used in successful studies and expert opinion rather than experimental comparisons of different techniques. Also, relatively few marine/estuarine (for example,</w:t>
      </w:r>
      <w:r w:rsidRPr="001A45A9">
        <w:rPr>
          <w:rFonts w:ascii="Verdana" w:eastAsia="Times New Roman" w:hAnsi="Verdana" w:cs="Times New Roman"/>
          <w:color w:val="000000" w:themeColor="text1"/>
          <w:sz w:val="18"/>
        </w:rPr>
        <w:t> </w:t>
      </w:r>
      <w:proofErr w:type="spellStart"/>
      <w:r w:rsidRPr="001A45A9">
        <w:rPr>
          <w:rFonts w:ascii="Verdana" w:eastAsia="Times New Roman" w:hAnsi="Verdana" w:cs="Times New Roman"/>
          <w:i/>
          <w:iCs/>
          <w:color w:val="000000" w:themeColor="text1"/>
          <w:sz w:val="18"/>
        </w:rPr>
        <w:t>Nereis</w:t>
      </w:r>
      <w:proofErr w:type="spellEnd"/>
      <w:r w:rsidRPr="001A45A9">
        <w:rPr>
          <w:rFonts w:ascii="Verdana" w:eastAsia="Times New Roman" w:hAnsi="Verdana" w:cs="Times New Roman"/>
          <w:color w:val="000000" w:themeColor="text1"/>
          <w:sz w:val="18"/>
        </w:rPr>
        <w:t> </w:t>
      </w:r>
      <w:r w:rsidRPr="003B1557">
        <w:rPr>
          <w:rFonts w:ascii="Verdana" w:eastAsia="Times New Roman" w:hAnsi="Verdana" w:cs="Times New Roman"/>
          <w:color w:val="000000" w:themeColor="text1"/>
          <w:sz w:val="18"/>
          <w:szCs w:val="18"/>
        </w:rPr>
        <w:t>and</w:t>
      </w:r>
      <w:r w:rsidRPr="001A45A9">
        <w:rPr>
          <w:rFonts w:ascii="Verdana" w:eastAsia="Times New Roman" w:hAnsi="Verdana" w:cs="Times New Roman"/>
          <w:color w:val="000000" w:themeColor="text1"/>
          <w:sz w:val="18"/>
        </w:rPr>
        <w:t> </w:t>
      </w:r>
      <w:proofErr w:type="spellStart"/>
      <w:r w:rsidRPr="001A45A9">
        <w:rPr>
          <w:rFonts w:ascii="Verdana" w:eastAsia="Times New Roman" w:hAnsi="Verdana" w:cs="Times New Roman"/>
          <w:i/>
          <w:iCs/>
          <w:color w:val="000000" w:themeColor="text1"/>
          <w:sz w:val="18"/>
        </w:rPr>
        <w:t>Macoma</w:t>
      </w:r>
      <w:proofErr w:type="spellEnd"/>
      <w:r w:rsidRPr="003B1557">
        <w:rPr>
          <w:rFonts w:ascii="Verdana" w:eastAsia="Times New Roman" w:hAnsi="Verdana" w:cs="Times New Roman"/>
          <w:color w:val="000000" w:themeColor="text1"/>
          <w:sz w:val="18"/>
          <w:szCs w:val="18"/>
        </w:rPr>
        <w:t>), freshwater (for example,</w:t>
      </w:r>
      <w:r w:rsidRPr="001A45A9">
        <w:rPr>
          <w:rFonts w:ascii="Verdana" w:eastAsia="Times New Roman" w:hAnsi="Verdana" w:cs="Times New Roman"/>
          <w:color w:val="000000" w:themeColor="text1"/>
          <w:sz w:val="18"/>
        </w:rPr>
        <w:t> </w:t>
      </w:r>
      <w:proofErr w:type="spellStart"/>
      <w:r w:rsidRPr="001A45A9">
        <w:rPr>
          <w:rFonts w:ascii="Verdana" w:eastAsia="Times New Roman" w:hAnsi="Verdana" w:cs="Times New Roman"/>
          <w:i/>
          <w:iCs/>
          <w:color w:val="000000" w:themeColor="text1"/>
          <w:sz w:val="18"/>
        </w:rPr>
        <w:t>Diporeia</w:t>
      </w:r>
      <w:proofErr w:type="spellEnd"/>
      <w:r w:rsidRPr="001A45A9">
        <w:rPr>
          <w:rFonts w:ascii="Verdana" w:eastAsia="Times New Roman" w:hAnsi="Verdana" w:cs="Times New Roman"/>
          <w:color w:val="000000" w:themeColor="text1"/>
          <w:sz w:val="18"/>
        </w:rPr>
        <w:t> </w:t>
      </w:r>
      <w:r w:rsidRPr="003B1557">
        <w:rPr>
          <w:rFonts w:ascii="Verdana" w:eastAsia="Times New Roman" w:hAnsi="Verdana" w:cs="Times New Roman"/>
          <w:color w:val="000000" w:themeColor="text1"/>
          <w:sz w:val="18"/>
          <w:szCs w:val="18"/>
        </w:rPr>
        <w:t>and</w:t>
      </w:r>
      <w:r w:rsidRPr="001A45A9">
        <w:rPr>
          <w:rFonts w:ascii="Verdana" w:eastAsia="Times New Roman" w:hAnsi="Verdana" w:cs="Times New Roman"/>
          <w:color w:val="000000" w:themeColor="text1"/>
          <w:sz w:val="18"/>
        </w:rPr>
        <w:t> </w:t>
      </w:r>
      <w:proofErr w:type="spellStart"/>
      <w:r w:rsidRPr="001A45A9">
        <w:rPr>
          <w:rFonts w:ascii="Verdana" w:eastAsia="Times New Roman" w:hAnsi="Verdana" w:cs="Times New Roman"/>
          <w:i/>
          <w:iCs/>
          <w:color w:val="000000" w:themeColor="text1"/>
          <w:sz w:val="18"/>
        </w:rPr>
        <w:t>Lumbriculus</w:t>
      </w:r>
      <w:proofErr w:type="spellEnd"/>
      <w:r w:rsidRPr="001A45A9">
        <w:rPr>
          <w:rFonts w:ascii="Verdana" w:eastAsia="Times New Roman" w:hAnsi="Verdana" w:cs="Times New Roman"/>
          <w:i/>
          <w:iCs/>
          <w:color w:val="000000" w:themeColor="text1"/>
          <w:sz w:val="18"/>
        </w:rPr>
        <w:t xml:space="preserve"> </w:t>
      </w:r>
      <w:proofErr w:type="spellStart"/>
      <w:r w:rsidRPr="001A45A9">
        <w:rPr>
          <w:rFonts w:ascii="Verdana" w:eastAsia="Times New Roman" w:hAnsi="Verdana" w:cs="Times New Roman"/>
          <w:i/>
          <w:iCs/>
          <w:color w:val="000000" w:themeColor="text1"/>
          <w:sz w:val="18"/>
        </w:rPr>
        <w:t>variegatus</w:t>
      </w:r>
      <w:proofErr w:type="spellEnd"/>
      <w:r w:rsidRPr="003B1557">
        <w:rPr>
          <w:rFonts w:ascii="Verdana" w:eastAsia="Times New Roman" w:hAnsi="Verdana" w:cs="Times New Roman"/>
          <w:color w:val="000000" w:themeColor="text1"/>
          <w:sz w:val="18"/>
          <w:szCs w:val="18"/>
        </w:rPr>
        <w:t>) species, and primarily neutral organic compounds provide a substantial portion of the basis for the guide. Nonetheless, sufficient progress has been made in conducting experiments and understanding the factors regulating sediment bioavailability to establish general guidelines for sediment bioaccumulation tests.</w:t>
      </w:r>
    </w:p>
    <w:p w:rsidR="003B1557" w:rsidRPr="001A45A9" w:rsidRDefault="003B1557" w:rsidP="001A45A9">
      <w:pPr>
        <w:shd w:val="clear" w:color="auto" w:fill="FFFFFF" w:themeFill="background1"/>
        <w:spacing w:after="120" w:line="260" w:lineRule="atLeast"/>
        <w:ind w:firstLine="720"/>
        <w:jc w:val="both"/>
        <w:textAlignment w:val="baseline"/>
        <w:rPr>
          <w:rFonts w:ascii="Arial" w:eastAsia="Times New Roman" w:hAnsi="Arial" w:cs="Arial"/>
          <w:color w:val="000000" w:themeColor="text1"/>
          <w:sz w:val="20"/>
          <w:szCs w:val="20"/>
        </w:rPr>
      </w:pPr>
    </w:p>
    <w:p w:rsidR="00AC5E0A" w:rsidRPr="001A45A9" w:rsidRDefault="00AC5E0A" w:rsidP="001A45A9">
      <w:pPr>
        <w:shd w:val="clear" w:color="auto" w:fill="FFFFFF" w:themeFill="background1"/>
        <w:jc w:val="both"/>
        <w:rPr>
          <w:color w:val="000000" w:themeColor="text1"/>
        </w:rPr>
      </w:pPr>
    </w:p>
    <w:sectPr w:rsidR="00AC5E0A" w:rsidRPr="001A45A9" w:rsidSect="00336B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useFELayout/>
  </w:compat>
  <w:rsids>
    <w:rsidRoot w:val="00571390"/>
    <w:rsid w:val="001A45A9"/>
    <w:rsid w:val="00336BC3"/>
    <w:rsid w:val="003B1557"/>
    <w:rsid w:val="00571390"/>
    <w:rsid w:val="00AC5E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BC3"/>
  </w:style>
  <w:style w:type="paragraph" w:styleId="Heading1">
    <w:name w:val="heading 1"/>
    <w:basedOn w:val="Normal"/>
    <w:link w:val="Heading1Char"/>
    <w:uiPriority w:val="9"/>
    <w:qFormat/>
    <w:rsid w:val="0057139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57139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1390"/>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57139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71390"/>
    <w:rPr>
      <w:color w:val="0000FF"/>
      <w:u w:val="single"/>
    </w:rPr>
  </w:style>
  <w:style w:type="character" w:customStyle="1" w:styleId="apple-converted-space">
    <w:name w:val="apple-converted-space"/>
    <w:basedOn w:val="DefaultParagraphFont"/>
    <w:rsid w:val="00571390"/>
  </w:style>
  <w:style w:type="paragraph" w:styleId="NormalWeb">
    <w:name w:val="Normal (Web)"/>
    <w:basedOn w:val="Normal"/>
    <w:uiPriority w:val="99"/>
    <w:semiHidden/>
    <w:unhideWhenUsed/>
    <w:rsid w:val="005713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3B1557"/>
  </w:style>
  <w:style w:type="character" w:customStyle="1" w:styleId="italic">
    <w:name w:val="italic"/>
    <w:basedOn w:val="DefaultParagraphFont"/>
    <w:rsid w:val="003B1557"/>
  </w:style>
</w:styles>
</file>

<file path=word/webSettings.xml><?xml version="1.0" encoding="utf-8"?>
<w:webSettings xmlns:r="http://schemas.openxmlformats.org/officeDocument/2006/relationships" xmlns:w="http://schemas.openxmlformats.org/wordprocessingml/2006/main">
  <w:divs>
    <w:div w:id="1601067804">
      <w:bodyDiv w:val="1"/>
      <w:marLeft w:val="0"/>
      <w:marRight w:val="0"/>
      <w:marTop w:val="0"/>
      <w:marBottom w:val="0"/>
      <w:divBdr>
        <w:top w:val="none" w:sz="0" w:space="0" w:color="auto"/>
        <w:left w:val="none" w:sz="0" w:space="0" w:color="auto"/>
        <w:bottom w:val="none" w:sz="0" w:space="0" w:color="auto"/>
        <w:right w:val="none" w:sz="0" w:space="0" w:color="auto"/>
      </w:divBdr>
      <w:divsChild>
        <w:div w:id="352608882">
          <w:marLeft w:val="0"/>
          <w:marRight w:val="0"/>
          <w:marTop w:val="288"/>
          <w:marBottom w:val="100"/>
          <w:divBdr>
            <w:top w:val="none" w:sz="0" w:space="0" w:color="auto"/>
            <w:left w:val="none" w:sz="0" w:space="0" w:color="auto"/>
            <w:bottom w:val="none" w:sz="0" w:space="0" w:color="auto"/>
            <w:right w:val="none" w:sz="0" w:space="0" w:color="auto"/>
          </w:divBdr>
        </w:div>
      </w:divsChild>
    </w:div>
    <w:div w:id="167310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cbi.nlm.nih.gov/pubmed?term=%22McElroy%20AE%22%5BAuthor%5D" TargetMode="External"/><Relationship Id="rId5" Type="http://schemas.openxmlformats.org/officeDocument/2006/relationships/hyperlink" Target="http://www.ncbi.nlm.nih.gov/pubmed?term=%22Woodburn%20KB%22%5BAuthor%5D" TargetMode="External"/><Relationship Id="rId4" Type="http://schemas.openxmlformats.org/officeDocument/2006/relationships/hyperlink" Target="http://www.ncbi.nlm.nih.gov/pubmed?term=%22Weisbrod%20AV%22%5BAuthor%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1144</Words>
  <Characters>6527</Characters>
  <Application>Microsoft Office Word</Application>
  <DocSecurity>0</DocSecurity>
  <Lines>54</Lines>
  <Paragraphs>15</Paragraphs>
  <ScaleCrop>false</ScaleCrop>
  <Company/>
  <LinksUpToDate>false</LinksUpToDate>
  <CharactersWithSpaces>7656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dc:creator>
  <cp:keywords/>
  <dc:description/>
  <cp:lastModifiedBy>CS</cp:lastModifiedBy>
  <cp:revision>4</cp:revision>
  <dcterms:created xsi:type="dcterms:W3CDTF">2012-03-19T10:15:00Z</dcterms:created>
  <dcterms:modified xsi:type="dcterms:W3CDTF">2012-03-19T10:18:00Z</dcterms:modified>
</cp:coreProperties>
</file>